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השער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לתפלה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זצ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ind w:right="630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0000"/>
          <w:sz w:val="32"/>
          <w:szCs w:val="32"/>
          <w:rtl w:val="0"/>
        </w:rPr>
        <w:t xml:space="preserve"> 11-11-25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הקדמה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ישתבח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ויתעלה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המביט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ולדרים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בארמונות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ובחדרי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חדרים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המשפילי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שזורים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מאמרים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כתובים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זהירים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בכתיבתם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מהירים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ליוצר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מאירים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עטי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בענייני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התפלות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ופרשת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השבוע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ושאלות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ותשובות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בענייני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שפירשתי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ודרשתי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וחידשתי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ליהנות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ולהתענג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העוסקים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שבעזרתו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יצאו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ולהאיר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פסחתי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חכמת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הדקדוק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שנגוזה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עברה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בימינו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תלמידי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החכמים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כמעט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מעיינם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בתלמוד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לומדים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שמביא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התלמוד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שבמציאות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ישאלך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מהיכן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נלקח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פסוק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פלוני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בגמרא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וכדומה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הקדמה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נועדה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בעיקר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לספרי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השער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שמחולק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הראשון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בפנינים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ופרפראות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שבתפלות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והחלק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בשאלות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ותשובות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ארוכות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וקצרות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זיכני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להגיע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בבחינת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ונשלמה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שפתינו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ושיהיו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מבושמים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כקטורת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ירוץ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להתבונן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במילותי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ובהגיוני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במטרה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לבוראו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והיוצא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ומפרי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עטי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לרצון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ובטרם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ונכון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ולהכיר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מופנות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וידעת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והשבות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לבבך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ואפתח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בשא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להבין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יכול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לגלות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זהות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',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שנראה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אך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לפנינו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תשובות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אך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הפשטניות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והמרשימות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ביותר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איוב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שאמר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: "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מבשרי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אחזה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אלוה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התקדמות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המדע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האדם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יכול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לראות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פעולותיו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מהבדיקות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הפשוטות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הדם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ועד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לבדיקות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המתקדמות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הדי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אן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איי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ואולם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יכול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לפתח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נוזל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שיכול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לפענח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הרבה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תשובות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מספירת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כדורי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הדם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האדומים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ועד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לבדיקות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גנטיות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התשובה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'.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פעולותיו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לדעת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לראות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שונה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שבו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כמכוון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ומודע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ואז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כשנבונן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אבר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מאבריו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פעולה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'.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ואז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שאלת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השאלות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שמשפיע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האדם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לשנות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הלך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מחשבתו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ולראות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פעולותיו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התשובה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שינוי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גישה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אז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גורם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לשינוי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הפתרון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תחילת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ההבנה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מקרה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מקרה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בחילוף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האותיות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יראה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שגחתו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הפרטית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פועלת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עליו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רגע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ורגע</w:t>
      </w:r>
      <w:r w:rsidDel="00000000" w:rsidR="00000000" w:rsidRPr="00000000">
        <w:rPr>
          <w:rFonts w:ascii="FrankRuehl" w:cs="FrankRuehl" w:eastAsia="FrankRuehl" w:hAnsi="FrankRuehl"/>
          <w:rtl w:val="1"/>
        </w:rPr>
        <w:t xml:space="preserve">.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שיזכה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להכיר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ולדעת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מפעיל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וקשה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יושב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ולומד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גמרא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בוראו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פגשתי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בניצול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שביקש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חברותא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ללימוד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גמרא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למדנו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פעמיים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בשבוע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במשך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שלמדנו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נהנה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מהלימוד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נהנה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השבוע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מלאכתו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דירות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להשכרה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זכרון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פוטוגרפי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הגמרות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ותוספות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ודף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במוחו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שנפרדתי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התברר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נוסע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הכנסת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משוכנע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להאמין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שאסור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לנסוע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ימחל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רצון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שבגן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תהא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מנוחתו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גאוני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גמרא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בשביל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מטרה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מסויימת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להנאתו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מלימוד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הגמרא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פיזיקה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מתמטיקה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יגידו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אזובי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שלומדים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במטרה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מסויימת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לעבור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בהצלחה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בשביל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במשכורת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הזעומה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שמקבלים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מהישיבה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מהכולל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במטרה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שצריך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הסיבות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וכמובן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לבטל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העוסקים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ורואים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פיסקה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גדולת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לשאר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הנוהרים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למלאכתם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והשעון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ביאתם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הכנסיות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יציאתם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יזכו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התפלות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לידע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ואמנם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מכוון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היוצאת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הנביא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ישעיהו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באומרו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ַ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יּ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ֹ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ֶ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ֲ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ֹ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ָ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ַ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ַ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כּ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גּ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ַ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ָ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ָ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ַ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זּ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ֶ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בּ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ְ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וּב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שׂ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ְ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ָ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ָ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כּ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בּ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ְ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דוּנ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ְ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בּוֹ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ַ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מּ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ֶ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נּ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ַ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תּ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ְ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ְ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ָ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ָ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ֹ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ְ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ַ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ֲ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ָ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ִ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ְ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ֻ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מּ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ָ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ָ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יגיע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בתפלתו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right="585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שהניעני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לפרסם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זיכני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להאיר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ולמצוא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לבטל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הכוונה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לצמצם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בריחת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לפגעי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שמודעת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המתפללים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ואפילו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שיודעים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לכוון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בתפלתם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ויראת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נסוכה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יכולים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לכוון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הצורך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המבוגרים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עסוקים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במחשבתם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בטרדות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בענייני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בריאות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ופרנסה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בחינוך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הילדים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ובחיי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והתלמידים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טרודים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הלימוד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לזכור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לבחינה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מסויימת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ובעבודות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לסיים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עניינים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העומדים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בקטנות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מוחין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והמורים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בראשם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יעבירו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הנלמד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בצורה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לתלמידיהם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במוחו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דרשתו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השבועית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טרוד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בעסקיו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מכוון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מסויימת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הנוגעת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מושכת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טרדותיו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ומעופפות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בראשו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ולעתים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עוזבות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שפוסע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פסיעות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לאחור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לדוגמה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בברכת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חונן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מבקש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הסוגיא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עסוק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ולזכור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שבעזרתו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יצליח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בבחינתו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השבועית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משערי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לשערי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וראשו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אפופים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בגמרא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המסויימת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ובנושאי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בברכת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חונן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מרחף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במבחניו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ובאופן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שיצליח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להתגבר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הקשיים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בהבנת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הסוגיה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בראשו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עומדת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קושית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המהרש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ליישב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אפשרית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לבקש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מפלוני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אלמוני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שיעזור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הסוגיא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ובעודו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חושב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פלוני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אלמוני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נמשך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לחשוב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הפרטיים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פלוני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ובינתיים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העמידה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מחשבתו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ונסתיימה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בברכת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חונן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מכוון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לפעמים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בטרם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במחשבתו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מחשבתו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הפליגה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לבעיה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מסויימת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להתמודד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במשך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לפיכך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דמתצדקי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למנוע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מהמחשבות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לעופף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לעניינים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מחוץ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שיוצא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בתפלתו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למחשבות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שאינן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קשורות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ליוצא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איתא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הכוונה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לתפלת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שישהה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יושבי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ביתך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דכתיב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צדיקים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לשמך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רבנן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חסידים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הראשונים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שוהין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ומתפללין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וחוזרין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ושוהין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ששוהין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משתמרת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ומלאכתן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נעשית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שחסידים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משתמרת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ומלאכתן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מתברכת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וצריך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לעסוק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לעסוק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בהכנות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שיראת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חטאו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קודמת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לחכמתו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חכמתו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מתקיימת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ואיפכא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ספק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ובפרט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ההכנה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המידה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ליראת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ויראת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חטא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הישיר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ליראת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מבחינה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שהמתפלל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ישירות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מתחנן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ומבקש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בריאות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והצלחה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עסקיו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הפרטיים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עסקי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ענייני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ענייני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הגאולה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כוונת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העוסק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שמלבד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שמקבל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לימודו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צדדי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בידיעת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הנלמד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מסוגל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בקהילתו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פרנסתו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מכבדת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במידה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שלומדים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למטרת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וכיוצא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בכוונה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קדש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קדשים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כצבי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בתפלתם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גמרא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מוכיחים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בעצמם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שמידת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שבקרבם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קלושה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למעמסה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שצריכים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להתפטר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המהירות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האפשרית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היוצאות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מלומדה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מקצצים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בראש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שמחסרים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לגמרי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ישאלך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הולכים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לביהכנ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דתיים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ובתור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מעמסה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מעומקא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דליבא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ממילא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מטרתו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לאיזה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צורך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ותועלת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שמקבלים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מקיימים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מתפללים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חטופה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ומהירה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הנושא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לשאתו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כסל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מגיעים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הכנסת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מתפללים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משתתפים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ואפילו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שמתחיל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מהתחלת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מעדיפים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עוזם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להשיג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הצבור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ובעיקר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וריצה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גמרא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הּיתכן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ובחן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בשעון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נושא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מקצץ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סופי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מדלג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ובולע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בראשי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תיבות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מאוויו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לסיים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שנקבע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מראש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הגבאים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כשליח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צבור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מושך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העגלה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חטאה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הקהל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הקדוש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שברובו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נאלץ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המהירות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מתפלתו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חוטא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ומחטיא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בחזרת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כצבי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השטן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ודוחף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בדלית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ברירה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לקצץ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בנטיעות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לבלוע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ולגבב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הגרוע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צבור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לשאול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הוריו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וקרוביו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מהווה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קטרוג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עבורם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אומרים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יולדתו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אומרים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גידולים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שגידלתם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כיוצא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במהירות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הבזק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עתון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ובזלזול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דוגמתו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יענה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פקודה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להתבונן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בפסוק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קוראיו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יקראוהו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שלכאורה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קוראיו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יקראוהו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בתחילת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שסוף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הפסוק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לראשו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דהיינו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הקוראים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שממלמלים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בלשונם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ובמטרה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לסיים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שבאמת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קוראיו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ואפילו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מתפללים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בלשונם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בבחינת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מאידך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מיוחדת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בבחינת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יקראוהו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שלבקשתם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נענה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ומתרגם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לשפת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כגוף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אחריות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הגבאים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בפסוק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ושוטרים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אומרת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הגמרא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במסכת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עבודה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המעמיד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דיין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נוטע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ושוטרים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וסמיך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תטע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ובמקום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תלמידי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חכמים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נטעו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אצל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מזבח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אצל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מזבח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המעמיד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הכוונה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שבידו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להעמיד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הכנסת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הגבאי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הממנה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החזן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וקובע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לסיים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מסויימת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נושא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עוונם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הציבור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שמוותרים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גדול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מתפלתם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ומעשיו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נוגדים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שמעון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וכשאתה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תעש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ותחנונים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המקום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חנון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ורחום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חסד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ציבור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חוטא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ומחטיא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נוטע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ובהזדמנות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כוונת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באומרו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שרבי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שמעון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בנפרד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הגבאי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ולבסוף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צבור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להאזין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לפקודת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הגבאי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לקצץ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בנטיעות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שכתב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יציב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המיוחס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למייסד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צאנז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יקותיאל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הלברשטאם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זצ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באורח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שכתב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ליקוטי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תתפלל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בשביל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וצרכיך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ותחנונים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המקום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דקוב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ושכינתיה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דעתו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במרומיו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עיקר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תכלית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לצרכיו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ייחד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דקוב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ושכינתיה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בחפזה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בנוסח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בטרם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בפירוט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הכוונות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כסידרה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תחילה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בביאור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נוסח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מישורים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הטעונים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ביאור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זקוק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לברכותינו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הפירוש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לשאול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לבאר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שפירש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העיקרים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תקנו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כנסת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הגדולה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לשבח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הטובות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שיקבל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הטובות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וההצלחות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מאיזה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מושפעות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משמע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ולדבריו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מברכים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לברכו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ולהוסיף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וברכותיו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הודאה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מצידינו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וישתבח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לנצח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צורינו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ויברכו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כבודך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דוגמאות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שמפריכות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לכאורה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מתפללים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ומקיימים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מצוותיו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מוסיפים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בפמליא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הוספת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בלעדי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פעולותינו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גופא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כביכול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משפיעים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תכלית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בריאתינו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ממילא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שנצטוינו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הנהנין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והראיה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ובתפלות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שהורונו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חכמינו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מוסיפים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בפמליא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בהודאותינו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ועשית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מוסיפים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בפמליא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ובאמת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עדיין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במושג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מוסיפים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בפמליא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נפקא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מוסיפים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לבאר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שהעגל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רוצה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לינק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רוצה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להניק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רצה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להשפיע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אלמנטים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יבקש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תחילה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ויודה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לבסוף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שקיבל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נותנים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בפמליא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להשפיע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ובפרט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כשמודים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הטובה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להשפיע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מטובו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מציאות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טובו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הגדול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להשפיע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לברואיו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שתהיה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משפיע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ותודה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קבלתו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ראיתי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פאר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אהרן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שכתב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ומצאנו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בכוזרי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כוזר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שמהללים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ברצונו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הפשוט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רצה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שבשבחם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ובהילולם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מוסיפים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כביכול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בפמליא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יתעלה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כביכול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יתגדל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כביכול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ארוממך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שארוממך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ושבח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לשמך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כשלעצמו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שכתב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ומצאנו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בכוזרי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הקטן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חפשתי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בהכוזרי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מצאתי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שרומז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שכתב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ובביאור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במחזור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לאברהם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מנהיג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פעולותינו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מקבלי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פועלים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בהתאם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למצוות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ממדותיו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מידות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חסד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גבורה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תפארת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נצח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יסוד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מנהיג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עולמו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פעולותינו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וביחס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המיוחד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מייחד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בהנהגתו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ובענין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שותפים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נבראיו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הנגלה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והנסתר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בנוסח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ברכה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לשאול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פותחים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קדשנו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במצוותיו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וצונו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בדברו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להתחיל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להמשיך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קדשתנו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במצוותיך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וצויתנו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בודאי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מהכבוד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נוהגים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תלמידי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החכמים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שלישי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בוודאי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קרובים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בעבודתינו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התמידית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מרגישים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בדיוק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הורינו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מלכנו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נוהגים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שמרחיץ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ומלביש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רעהו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רעהו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במעמד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הכנסת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תכופות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ומרגיש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ולשתות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צרכיו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לפיכך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תירא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שפירש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הרמב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הבחירה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במקלו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במנעל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שברגליו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באפונדתו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באבק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רגליו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הצרורין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בסדינו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שאסור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נזדמן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מבליעו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בכסותו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שיכנס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שכנגדה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לקצר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יקיפו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מבחוץ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ואילולי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כחפצו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בביהכנ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ובסוגריים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כפולים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שמעתי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שמודיעים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בפומבי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לקהל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שהעיקר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שיבואו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לביהכנ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ידברו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במשך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ויעשו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עסקיהם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וידברו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במילי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דחולין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קדש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ואפילו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קריאת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ובמטרה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שהקהל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ירגישו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בביהכנ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בדיוק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שתצלנה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השומעות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נוראים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שמעתי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מנהיג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שישנם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להסתכל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האתרוג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ולהכשירו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להסתכל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זכוכית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מגדלת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ושיהיה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עוקצו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פיטומו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צבעו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צהוב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ומחוספס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האתרוג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הלימון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ובגודל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הרצוי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להחזיק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האתרוג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במרחק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ולראות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יופיו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והדרו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הכשיר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תעלוליהם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מתפלליו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התפלה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ובקריאת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הפסק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פקו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פליליה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הנביא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ישעיה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זבחיכם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תבואו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מידכם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רמוס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חצרי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האמור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שזוהי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נוסח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תכיפות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פנויה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מרגיש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תיכף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נרתע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לאחוריו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נכון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וממשיך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שלישי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ואמנם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לוקה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מברכים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וברכות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כדברינו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צריכים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לתקן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לעניות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דעתי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כפירוש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הזהר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שישנם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עולמות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נגלה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מישורים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מלתתא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לעילא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הנגלה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עלמא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דאיתגליא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ובכגון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במוחש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הנגלה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פעולותיו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שטח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משטחי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המשך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מתייחסת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מלעילא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לתתא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ברואיו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יודע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ולהשכיל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יורד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לטפל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ביצורים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קטנים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לקדש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ולצוות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ומצוות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מעלמא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דאיתכסיא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מתיחס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הברכה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קדשנו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במצוותיו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וצונו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אומרים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4" w:orient="portrait"/>
      <w:pgMar w:bottom="1440" w:top="1440" w:left="286.41732283464705" w:right="283.464566929134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FrankRueh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A7B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A7B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A7B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A7B5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A7B5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A7B5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A7B5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A7B5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A7B5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A7B5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A7B5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A7B5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A7B5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A7B5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A7B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A7B5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A7B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A7B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A7B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7B5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A7B5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1qByJVedXWv1OkwEL6OOGMKag==">CgMxLjA4AHIhMXB0bUljZ2E4TDhFTGZhaHlNeEJvYThZeE1xckVZQ2J5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2025-11-16T16:28:00Z</dcterms:created>
  <dc:creator>Eli Shloush</dc:creator>
</cp:coreProperties>
</file>